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2CC" w:rsidRDefault="007F42CC" w:rsidP="004B6F50">
      <w:pPr>
        <w:pStyle w:val="Default"/>
        <w:spacing w:before="120" w:after="120"/>
        <w:jc w:val="right"/>
        <w:rPr>
          <w:rFonts w:ascii="Flama Book" w:hAnsi="Flama Book" w:cs="Flama Book"/>
          <w:sz w:val="16"/>
          <w:szCs w:val="16"/>
        </w:rPr>
      </w:pPr>
    </w:p>
    <w:p w:rsidR="00E2709B" w:rsidRPr="00E217B6" w:rsidRDefault="00E2709B" w:rsidP="00E217B6">
      <w:pPr>
        <w:rPr>
          <w:rFonts w:asciiTheme="majorHAnsi" w:eastAsia="Times New Roman" w:hAnsiTheme="majorHAnsi" w:cstheme="majorHAnsi"/>
          <w:color w:val="007465"/>
          <w:sz w:val="36"/>
          <w:szCs w:val="36"/>
          <w:lang w:eastAsia="en-AU"/>
        </w:rPr>
      </w:pPr>
      <w:r w:rsidRPr="00E217B6">
        <w:rPr>
          <w:rFonts w:asciiTheme="majorHAnsi" w:eastAsia="Times New Roman" w:hAnsiTheme="majorHAnsi" w:cstheme="majorHAnsi"/>
          <w:color w:val="007465"/>
          <w:sz w:val="36"/>
          <w:szCs w:val="36"/>
          <w:lang w:eastAsia="en-AU"/>
        </w:rPr>
        <w:t>Policy Statement</w:t>
      </w:r>
    </w:p>
    <w:p w:rsidR="00E2709B" w:rsidRPr="00E2709B" w:rsidRDefault="00596DF7" w:rsidP="00E2709B">
      <w:pPr>
        <w:spacing w:before="120" w:after="120"/>
        <w:rPr>
          <w:rFonts w:eastAsia="Times New Roman"/>
          <w:lang w:eastAsia="en-AU"/>
        </w:rPr>
      </w:pPr>
      <w:r w:rsidRPr="00E2709B">
        <w:rPr>
          <w:rFonts w:eastAsia="Times New Roman"/>
          <w:lang w:eastAsia="en-AU"/>
        </w:rPr>
        <w:t xml:space="preserve">To meet the </w:t>
      </w:r>
      <w:r w:rsidR="00E2709B" w:rsidRPr="00E2709B">
        <w:rPr>
          <w:rFonts w:eastAsia="Times New Roman"/>
          <w:lang w:eastAsia="en-AU"/>
        </w:rPr>
        <w:t xml:space="preserve">Standards for RTOs 2015 (v2.2 2019) </w:t>
      </w:r>
      <w:r w:rsidR="00180619">
        <w:rPr>
          <w:rFonts w:eastAsia="Times New Roman"/>
          <w:lang w:eastAsia="en-AU"/>
        </w:rPr>
        <w:t xml:space="preserve">this policy addresses Standard 6 which requires that Complaints and appeals are recorded, </w:t>
      </w:r>
      <w:proofErr w:type="gramStart"/>
      <w:r w:rsidR="00180619">
        <w:rPr>
          <w:rFonts w:eastAsia="Times New Roman"/>
          <w:lang w:eastAsia="en-AU"/>
        </w:rPr>
        <w:t>acknowledged</w:t>
      </w:r>
      <w:proofErr w:type="gramEnd"/>
      <w:r w:rsidR="00180619">
        <w:rPr>
          <w:rFonts w:eastAsia="Times New Roman"/>
          <w:lang w:eastAsia="en-AU"/>
        </w:rPr>
        <w:t xml:space="preserve"> and dealt with fairly, efficiently and effectively.  </w:t>
      </w:r>
      <w:r w:rsidRPr="00E2709B">
        <w:rPr>
          <w:rFonts w:eastAsia="Times New Roman"/>
          <w:lang w:eastAsia="en-AU"/>
        </w:rPr>
        <w:t xml:space="preserve"> </w:t>
      </w:r>
    </w:p>
    <w:p w:rsidR="00596DF7" w:rsidRPr="003D3263" w:rsidRDefault="00C2126D" w:rsidP="00E217B6">
      <w:pPr>
        <w:pStyle w:val="Heading2"/>
        <w:rPr>
          <w:rFonts w:eastAsia="Times New Roman"/>
          <w:lang w:eastAsia="en-AU"/>
        </w:rPr>
      </w:pPr>
      <w:r w:rsidRPr="003D3263">
        <w:rPr>
          <w:rFonts w:eastAsia="Times New Roman"/>
          <w:lang w:eastAsia="en-AU"/>
        </w:rPr>
        <w:t>Pu</w:t>
      </w:r>
      <w:r w:rsidR="00596DF7" w:rsidRPr="003D3263">
        <w:rPr>
          <w:rFonts w:eastAsia="Times New Roman"/>
          <w:lang w:eastAsia="en-AU"/>
        </w:rPr>
        <w:t>rpose</w:t>
      </w:r>
    </w:p>
    <w:p w:rsidR="00596DF7" w:rsidRPr="00596DF7" w:rsidRDefault="00596DF7" w:rsidP="004B6F50">
      <w:pPr>
        <w:spacing w:before="120" w:after="120"/>
        <w:rPr>
          <w:rFonts w:eastAsia="Times New Roman"/>
          <w:lang w:eastAsia="en-AU"/>
        </w:rPr>
      </w:pPr>
      <w:r w:rsidRPr="00596DF7">
        <w:rPr>
          <w:rFonts w:eastAsia="Times New Roman"/>
          <w:lang w:eastAsia="en-AU"/>
        </w:rPr>
        <w:t xml:space="preserve">The purpose of this policy is to outline </w:t>
      </w:r>
      <w:r w:rsidR="00F67EA9">
        <w:rPr>
          <w:rFonts w:eastAsia="Times New Roman"/>
          <w:lang w:eastAsia="en-AU"/>
        </w:rPr>
        <w:t xml:space="preserve">formal </w:t>
      </w:r>
      <w:r w:rsidRPr="00596DF7">
        <w:rPr>
          <w:rFonts w:eastAsia="Times New Roman"/>
          <w:lang w:eastAsia="en-AU"/>
        </w:rPr>
        <w:t>t</w:t>
      </w:r>
      <w:r w:rsidR="007D05F5">
        <w:rPr>
          <w:rFonts w:eastAsia="Times New Roman"/>
          <w:lang w:eastAsia="en-AU"/>
        </w:rPr>
        <w:t>ransparent</w:t>
      </w:r>
      <w:r w:rsidR="005E424E">
        <w:rPr>
          <w:rFonts w:eastAsia="Times New Roman"/>
          <w:lang w:eastAsia="en-AU"/>
        </w:rPr>
        <w:t xml:space="preserve"> </w:t>
      </w:r>
      <w:r w:rsidR="007D05F5">
        <w:rPr>
          <w:rFonts w:eastAsia="Times New Roman"/>
          <w:lang w:eastAsia="en-AU"/>
        </w:rPr>
        <w:t xml:space="preserve">complaints and appeals </w:t>
      </w:r>
      <w:r w:rsidR="005E424E">
        <w:rPr>
          <w:rFonts w:eastAsia="Times New Roman"/>
          <w:lang w:eastAsia="en-AU"/>
        </w:rPr>
        <w:t>processes for students and learners</w:t>
      </w:r>
      <w:r w:rsidR="007D05F5">
        <w:rPr>
          <w:rFonts w:eastAsia="Times New Roman"/>
          <w:lang w:eastAsia="en-AU"/>
        </w:rPr>
        <w:t xml:space="preserve">, to understand their rights and the RTOs responsibilities. </w:t>
      </w:r>
    </w:p>
    <w:p w:rsidR="00C2126D" w:rsidRDefault="00596DF7" w:rsidP="00E217B6">
      <w:pPr>
        <w:pStyle w:val="Heading2"/>
        <w:spacing w:after="120"/>
        <w:rPr>
          <w:rFonts w:eastAsia="Times New Roman"/>
          <w:lang w:eastAsia="en-AU"/>
        </w:rPr>
      </w:pPr>
      <w:r w:rsidRPr="00596DF7">
        <w:rPr>
          <w:rFonts w:eastAsia="Times New Roman"/>
          <w:lang w:eastAsia="en-AU"/>
        </w:rPr>
        <w:t>Responsibilit</w:t>
      </w:r>
      <w:r w:rsidR="00C2126D">
        <w:rPr>
          <w:rFonts w:eastAsia="Times New Roman"/>
          <w:lang w:eastAsia="en-AU"/>
        </w:rPr>
        <w:t>y</w:t>
      </w:r>
    </w:p>
    <w:p w:rsidR="00B7129A" w:rsidRPr="00220590" w:rsidRDefault="00220590" w:rsidP="00220590">
      <w:pPr>
        <w:rPr>
          <w:lang w:eastAsia="en-AU"/>
        </w:rPr>
      </w:pPr>
      <w:r>
        <w:rPr>
          <w:lang w:eastAsia="en-AU"/>
        </w:rPr>
        <w:t xml:space="preserve">This policy applies to </w:t>
      </w:r>
      <w:r w:rsidR="00AA6390">
        <w:rPr>
          <w:lang w:eastAsia="en-AU"/>
        </w:rPr>
        <w:t xml:space="preserve">Students, Learners, trainers, assessors within first, </w:t>
      </w:r>
      <w:r w:rsidR="00F67EA9">
        <w:rPr>
          <w:lang w:eastAsia="en-AU"/>
        </w:rPr>
        <w:t>second or third-party</w:t>
      </w:r>
      <w:r w:rsidR="00AA6390">
        <w:rPr>
          <w:lang w:eastAsia="en-AU"/>
        </w:rPr>
        <w:t xml:space="preserve"> arrangements. </w:t>
      </w:r>
      <w:r>
        <w:rPr>
          <w:lang w:eastAsia="en-AU"/>
        </w:rPr>
        <w:t xml:space="preserve"> </w:t>
      </w:r>
    </w:p>
    <w:p w:rsidR="00C2126D" w:rsidRDefault="00B7129A" w:rsidP="00E217B6">
      <w:pPr>
        <w:pStyle w:val="Heading2"/>
        <w:spacing w:after="12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5"/>
      </w:tblGrid>
      <w:tr w:rsidR="00B7129A" w:rsidTr="008958CC">
        <w:tc>
          <w:tcPr>
            <w:tcW w:w="1555" w:type="dxa"/>
          </w:tcPr>
          <w:p w:rsidR="00B7129A" w:rsidRPr="00E05804" w:rsidRDefault="00B7129A" w:rsidP="00B7129A">
            <w:pPr>
              <w:rPr>
                <w:b/>
                <w:bCs/>
                <w:lang w:eastAsia="en-AU"/>
              </w:rPr>
            </w:pPr>
            <w:r w:rsidRPr="00E05804">
              <w:rPr>
                <w:b/>
                <w:bCs/>
                <w:lang w:eastAsia="en-AU"/>
              </w:rPr>
              <w:t>Appeal</w:t>
            </w:r>
          </w:p>
        </w:tc>
        <w:tc>
          <w:tcPr>
            <w:tcW w:w="8505" w:type="dxa"/>
          </w:tcPr>
          <w:p w:rsidR="00B7129A" w:rsidRDefault="008504BB" w:rsidP="00B7129A">
            <w:pPr>
              <w:rPr>
                <w:lang w:eastAsia="en-AU"/>
              </w:rPr>
            </w:pPr>
            <w:r>
              <w:t xml:space="preserve">A </w:t>
            </w:r>
            <w:r w:rsidR="00B7129A">
              <w:t xml:space="preserve">request to review a decision that has previously been made. Appeals can be made for any part of a client’s involvement with </w:t>
            </w:r>
            <w:r w:rsidR="007A1ED6">
              <w:t>CTI</w:t>
            </w:r>
            <w:r w:rsidR="00B7129A">
              <w:t>.</w:t>
            </w:r>
          </w:p>
        </w:tc>
      </w:tr>
      <w:tr w:rsidR="00B7129A" w:rsidTr="008958CC">
        <w:tc>
          <w:tcPr>
            <w:tcW w:w="1555" w:type="dxa"/>
          </w:tcPr>
          <w:p w:rsidR="00B7129A" w:rsidRPr="00E05804" w:rsidRDefault="00B7129A" w:rsidP="00B7129A">
            <w:pPr>
              <w:rPr>
                <w:b/>
                <w:bCs/>
                <w:lang w:eastAsia="en-AU"/>
              </w:rPr>
            </w:pPr>
            <w:r w:rsidRPr="00E05804">
              <w:rPr>
                <w:b/>
                <w:bCs/>
                <w:lang w:eastAsia="en-AU"/>
              </w:rPr>
              <w:t>Complaint</w:t>
            </w:r>
          </w:p>
        </w:tc>
        <w:tc>
          <w:tcPr>
            <w:tcW w:w="8505" w:type="dxa"/>
          </w:tcPr>
          <w:p w:rsidR="00B7129A" w:rsidRDefault="008504BB" w:rsidP="00B7129A">
            <w:pPr>
              <w:rPr>
                <w:lang w:eastAsia="en-AU"/>
              </w:rPr>
            </w:pPr>
            <w:r>
              <w:t>A</w:t>
            </w:r>
            <w:r w:rsidR="00B7129A">
              <w:t xml:space="preserve"> stakeholder’s expression of dissatisfaction with any service provided by </w:t>
            </w:r>
            <w:r w:rsidR="007A1ED6">
              <w:t>CTI</w:t>
            </w:r>
          </w:p>
        </w:tc>
      </w:tr>
      <w:tr w:rsidR="00B7129A" w:rsidTr="008958CC">
        <w:tc>
          <w:tcPr>
            <w:tcW w:w="1555" w:type="dxa"/>
          </w:tcPr>
          <w:p w:rsidR="00B7129A" w:rsidRPr="00E05804" w:rsidRDefault="00B7129A" w:rsidP="00B7129A">
            <w:pPr>
              <w:rPr>
                <w:b/>
                <w:bCs/>
                <w:lang w:eastAsia="en-AU"/>
              </w:rPr>
            </w:pPr>
            <w:r w:rsidRPr="00E05804">
              <w:rPr>
                <w:b/>
                <w:bCs/>
                <w:lang w:eastAsia="en-AU"/>
              </w:rPr>
              <w:t>SRTO</w:t>
            </w:r>
          </w:p>
        </w:tc>
        <w:tc>
          <w:tcPr>
            <w:tcW w:w="8505" w:type="dxa"/>
          </w:tcPr>
          <w:p w:rsidR="00B7129A" w:rsidRDefault="003534EE" w:rsidP="00B7129A">
            <w:pPr>
              <w:rPr>
                <w:lang w:eastAsia="en-AU"/>
              </w:rPr>
            </w:pPr>
            <w:r w:rsidRPr="003534EE">
              <w:rPr>
                <w:lang w:eastAsia="en-AU"/>
              </w:rPr>
              <w:t>Standards for Registered Training Organisations 2015 V2.2 Oct 2019</w:t>
            </w:r>
          </w:p>
        </w:tc>
      </w:tr>
    </w:tbl>
    <w:p w:rsidR="00B7129A" w:rsidRPr="00B7129A" w:rsidRDefault="00B7129A" w:rsidP="00B7129A">
      <w:pPr>
        <w:rPr>
          <w:lang w:eastAsia="en-AU"/>
        </w:rPr>
      </w:pPr>
    </w:p>
    <w:p w:rsidR="008473BE" w:rsidRDefault="00AA6390" w:rsidP="00E217B6">
      <w:pPr>
        <w:pStyle w:val="Heading2"/>
        <w:spacing w:after="12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Statement of policy</w:t>
      </w:r>
    </w:p>
    <w:p w:rsidR="00E217B6" w:rsidRPr="00E217B6" w:rsidRDefault="00E217B6" w:rsidP="00E217B6">
      <w:pPr>
        <w:rPr>
          <w:rFonts w:eastAsiaTheme="majorEastAsia"/>
          <w:lang w:eastAsia="en-AU"/>
        </w:rPr>
      </w:pPr>
      <w:r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 xml:space="preserve"> creates an environment where views are </w:t>
      </w:r>
      <w:proofErr w:type="gramStart"/>
      <w:r w:rsidRPr="00E217B6">
        <w:rPr>
          <w:rFonts w:eastAsiaTheme="majorEastAsia"/>
          <w:lang w:eastAsia="en-AU"/>
        </w:rPr>
        <w:t>valued</w:t>
      </w:r>
      <w:proofErr w:type="gramEnd"/>
      <w:r w:rsidRPr="00E217B6">
        <w:rPr>
          <w:rFonts w:eastAsiaTheme="majorEastAsia"/>
          <w:lang w:eastAsia="en-AU"/>
        </w:rPr>
        <w:t xml:space="preserve"> and constructive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feedback welcomed.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 xml:space="preserve">Students will be informed of </w:t>
      </w:r>
      <w:r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>’s complaints and appeals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handling mechanism as well as general feedback mechanisms at enrolment and/or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induction.</w:t>
      </w:r>
    </w:p>
    <w:p w:rsidR="00E217B6" w:rsidRDefault="00E217B6" w:rsidP="00E217B6">
      <w:pPr>
        <w:rPr>
          <w:rFonts w:eastAsiaTheme="majorEastAsia"/>
          <w:lang w:eastAsia="en-AU"/>
        </w:rPr>
      </w:pPr>
    </w:p>
    <w:p w:rsidR="00E217B6" w:rsidRDefault="00E217B6" w:rsidP="00E217B6">
      <w:pPr>
        <w:rPr>
          <w:rFonts w:eastAsiaTheme="majorEastAsia"/>
          <w:lang w:eastAsia="en-AU"/>
        </w:rPr>
      </w:pPr>
      <w:r w:rsidRPr="00E217B6">
        <w:rPr>
          <w:rFonts w:eastAsiaTheme="majorEastAsia"/>
          <w:lang w:eastAsia="en-AU"/>
        </w:rPr>
        <w:t>Students who enrol online into pre-accredited programs are directed to the policy on</w:t>
      </w:r>
      <w:r>
        <w:rPr>
          <w:rFonts w:eastAsiaTheme="majorEastAsia"/>
          <w:lang w:eastAsia="en-AU"/>
        </w:rPr>
        <w:t xml:space="preserve"> CTI</w:t>
      </w:r>
      <w:r w:rsidRPr="00E217B6">
        <w:rPr>
          <w:rFonts w:eastAsiaTheme="majorEastAsia"/>
          <w:lang w:eastAsia="en-AU"/>
        </w:rPr>
        <w:t>’s website.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 xml:space="preserve">The policy can be </w:t>
      </w:r>
      <w:proofErr w:type="gramStart"/>
      <w:r w:rsidRPr="00E217B6">
        <w:rPr>
          <w:rFonts w:eastAsiaTheme="majorEastAsia"/>
          <w:lang w:eastAsia="en-AU"/>
        </w:rPr>
        <w:t>accessed at all times</w:t>
      </w:r>
      <w:proofErr w:type="gramEnd"/>
      <w:r w:rsidRPr="00E217B6">
        <w:rPr>
          <w:rFonts w:eastAsiaTheme="majorEastAsia"/>
          <w:lang w:eastAsia="en-AU"/>
        </w:rPr>
        <w:t xml:space="preserve"> via the website</w:t>
      </w:r>
      <w:r>
        <w:rPr>
          <w:rFonts w:eastAsiaTheme="majorEastAsia"/>
          <w:lang w:eastAsia="en-AU"/>
        </w:rPr>
        <w:t xml:space="preserve">. </w:t>
      </w:r>
      <w:r w:rsidRPr="00E217B6">
        <w:rPr>
          <w:rFonts w:eastAsiaTheme="majorEastAsia"/>
          <w:lang w:eastAsia="en-AU"/>
        </w:rPr>
        <w:t>A student who has a complaint has the right to raise the complaint and expec</w:t>
      </w:r>
      <w:r>
        <w:rPr>
          <w:rFonts w:eastAsiaTheme="majorEastAsia"/>
          <w:lang w:eastAsia="en-AU"/>
        </w:rPr>
        <w:t xml:space="preserve">t </w:t>
      </w:r>
      <w:r w:rsidRPr="00E217B6">
        <w:rPr>
          <w:rFonts w:eastAsiaTheme="majorEastAsia"/>
          <w:lang w:eastAsia="en-AU"/>
        </w:rPr>
        <w:t>that every effort will be made to resolve it in accordance with this policy and its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accompanying procedures, without prejudice or fear of reprisal or victimisation.</w:t>
      </w:r>
    </w:p>
    <w:p w:rsidR="00E217B6" w:rsidRPr="00E217B6" w:rsidRDefault="00E217B6" w:rsidP="00E217B6">
      <w:pPr>
        <w:rPr>
          <w:rFonts w:eastAsiaTheme="majorEastAsia"/>
          <w:lang w:eastAsia="en-AU"/>
        </w:rPr>
      </w:pPr>
    </w:p>
    <w:p w:rsidR="00E217B6" w:rsidRDefault="00E217B6" w:rsidP="00E217B6">
      <w:pPr>
        <w:rPr>
          <w:rFonts w:eastAsiaTheme="majorEastAsia"/>
          <w:lang w:eastAsia="en-AU"/>
        </w:rPr>
      </w:pPr>
      <w:r w:rsidRPr="00E217B6">
        <w:rPr>
          <w:rFonts w:eastAsiaTheme="majorEastAsia"/>
          <w:lang w:eastAsia="en-AU"/>
        </w:rPr>
        <w:t>Resolving complaints at the earliest opportunity and in a way that respects the person’s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feedback, is important to preventing any further escalation.</w:t>
      </w:r>
      <w:r>
        <w:rPr>
          <w:rFonts w:eastAsiaTheme="majorEastAsia"/>
          <w:lang w:eastAsia="en-AU"/>
        </w:rPr>
        <w:t xml:space="preserve"> </w:t>
      </w:r>
    </w:p>
    <w:p w:rsidR="00E217B6" w:rsidRDefault="00E217B6" w:rsidP="00E217B6">
      <w:pPr>
        <w:rPr>
          <w:rFonts w:eastAsiaTheme="majorEastAsia"/>
          <w:lang w:eastAsia="en-AU"/>
        </w:rPr>
      </w:pPr>
    </w:p>
    <w:p w:rsidR="00E217B6" w:rsidRPr="00E217B6" w:rsidRDefault="00E217B6" w:rsidP="00E217B6">
      <w:pPr>
        <w:rPr>
          <w:rFonts w:eastAsiaTheme="majorEastAsia"/>
          <w:lang w:eastAsia="en-AU"/>
        </w:rPr>
      </w:pPr>
      <w:r w:rsidRPr="00E217B6">
        <w:rPr>
          <w:rFonts w:eastAsiaTheme="majorEastAsia"/>
          <w:lang w:eastAsia="en-AU"/>
        </w:rPr>
        <w:t>A complaint should be made and lodged in writing within 6 months of the date of the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circumstances giving rise to the complaint. In the case of a complaint about a training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course that has finished, a complaint should be made and lodged in writing, within 6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months after completion of the course. Any legislation which creates complaint rights</w:t>
      </w:r>
    </w:p>
    <w:p w:rsidR="00E217B6" w:rsidRDefault="00E217B6" w:rsidP="00E217B6">
      <w:pPr>
        <w:rPr>
          <w:rFonts w:eastAsiaTheme="majorEastAsia"/>
          <w:lang w:eastAsia="en-AU"/>
        </w:rPr>
      </w:pPr>
      <w:r w:rsidRPr="00E217B6">
        <w:rPr>
          <w:rFonts w:eastAsiaTheme="majorEastAsia"/>
          <w:lang w:eastAsia="en-AU"/>
        </w:rPr>
        <w:t xml:space="preserve">after this date may, at </w:t>
      </w:r>
      <w:r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>’s discretion be dealt with under this policy as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allowed, or as per the requirements of the relevant legislation.</w:t>
      </w:r>
    </w:p>
    <w:p w:rsidR="00E217B6" w:rsidRPr="00E217B6" w:rsidRDefault="00E217B6" w:rsidP="00E217B6">
      <w:pPr>
        <w:rPr>
          <w:rFonts w:eastAsiaTheme="majorEastAsia"/>
          <w:lang w:eastAsia="en-AU"/>
        </w:rPr>
      </w:pPr>
    </w:p>
    <w:p w:rsidR="00E217B6" w:rsidRPr="00E217B6" w:rsidRDefault="00E217B6" w:rsidP="00E217B6">
      <w:pPr>
        <w:rPr>
          <w:rFonts w:eastAsiaTheme="majorEastAsia"/>
          <w:lang w:eastAsia="en-AU"/>
        </w:rPr>
      </w:pPr>
      <w:r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 xml:space="preserve"> will consider the specific needs of individuals who experience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 xml:space="preserve">barriers to making a written complaint. In some </w:t>
      </w:r>
      <w:proofErr w:type="gramStart"/>
      <w:r w:rsidRPr="00E217B6">
        <w:rPr>
          <w:rFonts w:eastAsiaTheme="majorEastAsia"/>
          <w:lang w:eastAsia="en-AU"/>
        </w:rPr>
        <w:t>instances</w:t>
      </w:r>
      <w:proofErr w:type="gramEnd"/>
      <w:r w:rsidRPr="00E217B6">
        <w:rPr>
          <w:rFonts w:eastAsiaTheme="majorEastAsia"/>
          <w:lang w:eastAsia="en-AU"/>
        </w:rPr>
        <w:t xml:space="preserve"> for example, a formal verbal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complaint may be considered where English language / literacy is a major barrier or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disability or child.</w:t>
      </w:r>
    </w:p>
    <w:p w:rsidR="00E217B6" w:rsidRDefault="00E217B6" w:rsidP="00E217B6">
      <w:pPr>
        <w:rPr>
          <w:rFonts w:eastAsiaTheme="majorEastAsia"/>
          <w:lang w:eastAsia="en-AU"/>
        </w:rPr>
      </w:pPr>
    </w:p>
    <w:p w:rsidR="00E217B6" w:rsidRPr="00E217B6" w:rsidRDefault="00E217B6" w:rsidP="00E217B6">
      <w:pPr>
        <w:rPr>
          <w:rFonts w:eastAsiaTheme="majorEastAsia"/>
          <w:lang w:eastAsia="en-AU"/>
        </w:rPr>
      </w:pPr>
      <w:r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 xml:space="preserve"> will manage all complaints as fairly, </w:t>
      </w:r>
      <w:proofErr w:type="gramStart"/>
      <w:r w:rsidRPr="00E217B6">
        <w:rPr>
          <w:rFonts w:eastAsiaTheme="majorEastAsia"/>
          <w:lang w:eastAsia="en-AU"/>
        </w:rPr>
        <w:t>effectively</w:t>
      </w:r>
      <w:proofErr w:type="gramEnd"/>
      <w:r w:rsidRPr="00E217B6">
        <w:rPr>
          <w:rFonts w:eastAsiaTheme="majorEastAsia"/>
          <w:lang w:eastAsia="en-AU"/>
        </w:rPr>
        <w:t xml:space="preserve"> and efficiently as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 xml:space="preserve">possible and to the level warranted by the complaint/ allegation. </w:t>
      </w:r>
      <w:r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 xml:space="preserve"> will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 xml:space="preserve">encourage the parties to approach the complaint with an open mind and to </w:t>
      </w:r>
      <w:proofErr w:type="gramStart"/>
      <w:r w:rsidRPr="00E217B6">
        <w:rPr>
          <w:rFonts w:eastAsiaTheme="majorEastAsia"/>
          <w:lang w:eastAsia="en-AU"/>
        </w:rPr>
        <w:t>resolve</w:t>
      </w:r>
      <w:proofErr w:type="gramEnd"/>
    </w:p>
    <w:p w:rsidR="00E217B6" w:rsidRPr="00E217B6" w:rsidRDefault="00E217B6" w:rsidP="00E217B6">
      <w:pPr>
        <w:rPr>
          <w:rFonts w:eastAsiaTheme="majorEastAsia"/>
          <w:lang w:eastAsia="en-AU"/>
        </w:rPr>
      </w:pPr>
      <w:r w:rsidRPr="00E217B6">
        <w:rPr>
          <w:rFonts w:eastAsiaTheme="majorEastAsia"/>
          <w:lang w:eastAsia="en-AU"/>
        </w:rPr>
        <w:t xml:space="preserve">problems through discussion and conciliation. </w:t>
      </w:r>
      <w:r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 xml:space="preserve"> will take action to deal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with identified causes of complaints and will then monitor and improve systems and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operations as required.</w:t>
      </w:r>
    </w:p>
    <w:p w:rsidR="00E217B6" w:rsidRDefault="00E217B6" w:rsidP="00E217B6">
      <w:pPr>
        <w:rPr>
          <w:rFonts w:eastAsiaTheme="majorEastAsia"/>
          <w:lang w:eastAsia="en-AU"/>
        </w:rPr>
      </w:pPr>
      <w:r w:rsidRPr="00E217B6">
        <w:rPr>
          <w:rFonts w:eastAsiaTheme="majorEastAsia"/>
          <w:lang w:eastAsia="en-AU"/>
        </w:rPr>
        <w:t xml:space="preserve">Where a complaint cannot be resolved through discussion and/or conciliation, </w:t>
      </w:r>
      <w:r>
        <w:rPr>
          <w:rFonts w:eastAsiaTheme="majorEastAsia"/>
          <w:lang w:eastAsia="en-AU"/>
        </w:rPr>
        <w:t xml:space="preserve">CTI </w:t>
      </w:r>
      <w:r w:rsidRPr="00E217B6">
        <w:rPr>
          <w:rFonts w:eastAsiaTheme="majorEastAsia"/>
          <w:lang w:eastAsia="en-AU"/>
        </w:rPr>
        <w:t>acknowledges there may be a need for an appropriate external and independent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 xml:space="preserve">person to mediate between the parties. In this event, the </w:t>
      </w:r>
      <w:r>
        <w:rPr>
          <w:rFonts w:eastAsiaTheme="majorEastAsia"/>
          <w:lang w:eastAsia="en-AU"/>
        </w:rPr>
        <w:t>p</w:t>
      </w:r>
      <w:r w:rsidRPr="00E217B6">
        <w:rPr>
          <w:rFonts w:eastAsiaTheme="majorEastAsia"/>
          <w:lang w:eastAsia="en-AU"/>
        </w:rPr>
        <w:t>arties will be given the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opportunity to formally present their case to the independent person.</w:t>
      </w:r>
    </w:p>
    <w:p w:rsidR="00E217B6" w:rsidRPr="00E217B6" w:rsidRDefault="00E217B6" w:rsidP="00E217B6">
      <w:pPr>
        <w:rPr>
          <w:rFonts w:eastAsiaTheme="majorEastAsia"/>
          <w:lang w:eastAsia="en-AU"/>
        </w:rPr>
      </w:pPr>
    </w:p>
    <w:p w:rsidR="00E217B6" w:rsidRDefault="00E217B6" w:rsidP="00E217B6">
      <w:pPr>
        <w:rPr>
          <w:rFonts w:eastAsiaTheme="majorEastAsia"/>
          <w:lang w:eastAsia="en-AU"/>
        </w:rPr>
      </w:pPr>
      <w:r w:rsidRPr="00E217B6">
        <w:rPr>
          <w:rFonts w:eastAsiaTheme="majorEastAsia"/>
          <w:lang w:eastAsia="en-AU"/>
        </w:rPr>
        <w:t>As far as practicable, confidentiality will be maintained throughout the process of making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 xml:space="preserve">and resolving complaints. </w:t>
      </w:r>
      <w:r w:rsidR="000B5EF1"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 xml:space="preserve"> seeks to protect the rights and privacy of all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involved and to facilitate the return to a comfortable and productive learning or work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environment as soon as possible. In some cases, the person or body against whom a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complaint has been lodged will be able to identify the complainant from the substance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and/ or the circumstances described in the complaint. In other cases, the complainant’s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identity will need to be disclosed to allow them the opportunity to respond to any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 xml:space="preserve">allegations. In such instances, </w:t>
      </w:r>
      <w:r>
        <w:rPr>
          <w:rFonts w:eastAsiaTheme="majorEastAsia"/>
          <w:lang w:eastAsia="en-AU"/>
        </w:rPr>
        <w:t>CTI</w:t>
      </w:r>
      <w:r w:rsidRPr="00E217B6">
        <w:rPr>
          <w:rFonts w:eastAsiaTheme="majorEastAsia"/>
          <w:lang w:eastAsia="en-AU"/>
        </w:rPr>
        <w:t xml:space="preserve"> advise the complainant that it may not</w:t>
      </w:r>
      <w:r>
        <w:rPr>
          <w:rFonts w:eastAsiaTheme="majorEastAsia"/>
          <w:lang w:eastAsia="en-AU"/>
        </w:rPr>
        <w:t xml:space="preserve"> </w:t>
      </w:r>
      <w:r w:rsidRPr="00E217B6">
        <w:rPr>
          <w:rFonts w:eastAsiaTheme="majorEastAsia"/>
          <w:lang w:eastAsia="en-AU"/>
        </w:rPr>
        <w:t>be practicable to maintain confidentiality prior to taking any action.</w:t>
      </w:r>
    </w:p>
    <w:p w:rsidR="00E217B6" w:rsidRPr="00E217B6" w:rsidRDefault="00E217B6" w:rsidP="00E217B6">
      <w:pPr>
        <w:rPr>
          <w:rFonts w:eastAsiaTheme="majorEastAsia"/>
          <w:lang w:eastAsia="en-AU"/>
        </w:rPr>
      </w:pPr>
    </w:p>
    <w:p w:rsidR="005066B7" w:rsidRDefault="00E217B6" w:rsidP="00E217B6">
      <w:pPr>
        <w:rPr>
          <w:rFonts w:eastAsiaTheme="majorEastAsia"/>
          <w:lang w:eastAsia="en-AU"/>
        </w:rPr>
      </w:pPr>
      <w:r w:rsidRPr="00E217B6">
        <w:rPr>
          <w:rFonts w:eastAsiaTheme="majorEastAsia"/>
          <w:lang w:eastAsia="en-AU"/>
        </w:rPr>
        <w:t xml:space="preserve">The Board of </w:t>
      </w:r>
      <w:r>
        <w:rPr>
          <w:rFonts w:eastAsiaTheme="majorEastAsia"/>
          <w:lang w:eastAsia="en-AU"/>
        </w:rPr>
        <w:t>Directors</w:t>
      </w:r>
      <w:r w:rsidRPr="00E217B6">
        <w:rPr>
          <w:rFonts w:eastAsiaTheme="majorEastAsia"/>
          <w:lang w:eastAsia="en-AU"/>
        </w:rPr>
        <w:t xml:space="preserve"> (Board) is also guided by the grievance processes outlined in</w:t>
      </w:r>
      <w:r>
        <w:rPr>
          <w:rFonts w:eastAsiaTheme="majorEastAsia"/>
          <w:lang w:eastAsia="en-AU"/>
        </w:rPr>
        <w:t xml:space="preserve"> this policy </w:t>
      </w:r>
      <w:r w:rsidRPr="00E217B6">
        <w:rPr>
          <w:rFonts w:eastAsiaTheme="majorEastAsia"/>
          <w:lang w:eastAsia="en-AU"/>
        </w:rPr>
        <w:t>and will need to be involved in any complaints/allegations against the CEO.</w:t>
      </w:r>
    </w:p>
    <w:p w:rsidR="00E217B6" w:rsidRDefault="00E217B6" w:rsidP="00E217B6">
      <w:pPr>
        <w:rPr>
          <w:rFonts w:eastAsiaTheme="majorEastAsia"/>
          <w:lang w:eastAsia="en-AU"/>
        </w:rPr>
      </w:pPr>
    </w:p>
    <w:p w:rsidR="00E217B6" w:rsidRPr="005066B7" w:rsidRDefault="00E217B6" w:rsidP="00E217B6"/>
    <w:p w:rsidR="000B5EF1" w:rsidRDefault="000B5EF1" w:rsidP="00D86B73">
      <w:pPr>
        <w:pStyle w:val="Heading2"/>
        <w:spacing w:after="120"/>
      </w:pPr>
      <w:r>
        <w:t>Guiding Principles</w:t>
      </w:r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>CTI is committed to child safety principles and has a no tolerance approach to child abuse. Any allegations in relation to child safety will be investigated according to the requirements of the legislation and/ or CTI’s Child safety and Wellbeing Policy &amp; Procedure.</w:t>
      </w:r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 xml:space="preserve">Complainants have the right to have complaints and appeals resolved promptly as per principles </w:t>
      </w:r>
      <w:proofErr w:type="gramStart"/>
      <w:r>
        <w:t>above;</w:t>
      </w:r>
      <w:proofErr w:type="gramEnd"/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 xml:space="preserve">All parties should participate in the complaint resolution process in good faith and cooperate fully in any investigation </w:t>
      </w:r>
      <w:proofErr w:type="gramStart"/>
      <w:r>
        <w:t>process;</w:t>
      </w:r>
      <w:proofErr w:type="gramEnd"/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 xml:space="preserve">Complainants should avoid complaining about the same matter to several different individuals at the same time which may affect the quality of the </w:t>
      </w:r>
      <w:proofErr w:type="gramStart"/>
      <w:r>
        <w:t>process;</w:t>
      </w:r>
      <w:proofErr w:type="gramEnd"/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 xml:space="preserve">Complainants should avoid making complaints or counter-complaints with a mischievous or malicious intent; and, </w:t>
      </w:r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 xml:space="preserve">If criminal conduct has been alleged, the matter will be referred to the Police. </w:t>
      </w:r>
    </w:p>
    <w:p w:rsidR="000B5EF1" w:rsidRDefault="000B5EF1" w:rsidP="00F43E84"/>
    <w:p w:rsidR="009E3638" w:rsidRDefault="000B5EF1" w:rsidP="000B5EF1">
      <w:r>
        <w:t xml:space="preserve">In general, it is expected that written complaints will be brought to the attention of the RTO Manager. All complaints must be submitted initially via the online complaints &amp; appeals form be recorded in the Complaint Register. The online form will be submitted to the </w:t>
      </w:r>
      <w:hyperlink r:id="rId8" w:history="1">
        <w:r w:rsidRPr="00DF12E4">
          <w:rPr>
            <w:rStyle w:val="Hyperlink"/>
          </w:rPr>
          <w:t>studentsupport@ctitraining.com.au</w:t>
        </w:r>
      </w:hyperlink>
      <w:r>
        <w:t xml:space="preserve"> email which is monitored daily.</w:t>
      </w:r>
    </w:p>
    <w:p w:rsidR="009E3638" w:rsidRDefault="009E3638" w:rsidP="00F43E84"/>
    <w:p w:rsidR="000B5EF1" w:rsidRDefault="000B5EF1" w:rsidP="000B5EF1">
      <w:r>
        <w:t xml:space="preserve">Complainants will receive advice of the outcome of their complaint as per procedures below. The outcome will be in keeping with the seriousness of the </w:t>
      </w:r>
      <w:proofErr w:type="gramStart"/>
      <w:r>
        <w:t>incident</w:t>
      </w:r>
      <w:proofErr w:type="gramEnd"/>
      <w:r>
        <w:t xml:space="preserve"> which was the basis of the complaint, and will be applied consistently across the organisation.</w:t>
      </w:r>
    </w:p>
    <w:p w:rsidR="000B5EF1" w:rsidRDefault="000B5EF1" w:rsidP="000B5EF1"/>
    <w:p w:rsidR="000B5EF1" w:rsidRDefault="000B5EF1" w:rsidP="000B5EF1">
      <w:r>
        <w:t>Some possible outcomes of a complaint could include (but are not limited to):</w:t>
      </w:r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>increased understanding of a situation is reached so that concerns are resolved.</w:t>
      </w:r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>improvement to CTI’s operational practices and/or systems.</w:t>
      </w:r>
    </w:p>
    <w:p w:rsidR="000B5EF1" w:rsidRDefault="000B5EF1" w:rsidP="000B5EF1">
      <w:pPr>
        <w:pStyle w:val="ListParagraph"/>
        <w:numPr>
          <w:ilvl w:val="0"/>
          <w:numId w:val="27"/>
        </w:numPr>
      </w:pPr>
      <w:r>
        <w:t>mutually acceptable resolution reached through conciliation or mediation.</w:t>
      </w:r>
    </w:p>
    <w:p w:rsidR="000B5EF1" w:rsidRDefault="000B5EF1" w:rsidP="009B0C44">
      <w:pPr>
        <w:pStyle w:val="ListParagraph"/>
        <w:numPr>
          <w:ilvl w:val="0"/>
          <w:numId w:val="27"/>
        </w:numPr>
      </w:pPr>
      <w:r>
        <w:t>an apology received, and/or the issue or behaviour that was the basis of the complaint modified.</w:t>
      </w:r>
    </w:p>
    <w:p w:rsidR="000B5EF1" w:rsidRDefault="000B5EF1" w:rsidP="00EA02A2">
      <w:pPr>
        <w:pStyle w:val="ListParagraph"/>
        <w:numPr>
          <w:ilvl w:val="0"/>
          <w:numId w:val="27"/>
        </w:numPr>
      </w:pPr>
      <w:r>
        <w:t>formal disciplinary action in line with appropriate industrial instruments and/or disciplinary matters.</w:t>
      </w:r>
    </w:p>
    <w:p w:rsidR="000B5EF1" w:rsidRDefault="000B5EF1" w:rsidP="00581985">
      <w:pPr>
        <w:pStyle w:val="ListParagraph"/>
        <w:numPr>
          <w:ilvl w:val="0"/>
          <w:numId w:val="27"/>
        </w:numPr>
      </w:pPr>
      <w:r>
        <w:t>in some cases, where the complaint cannot be substantiated, no further action will be taken; and,</w:t>
      </w:r>
    </w:p>
    <w:p w:rsidR="000B5EF1" w:rsidRDefault="000B5EF1" w:rsidP="000B7B4F">
      <w:pPr>
        <w:pStyle w:val="ListParagraph"/>
        <w:numPr>
          <w:ilvl w:val="0"/>
          <w:numId w:val="27"/>
        </w:numPr>
      </w:pPr>
      <w:r>
        <w:t>CTI may decline to investigate if the complaint is frivolous, vexatious, misconceived or lacking in substance.</w:t>
      </w:r>
    </w:p>
    <w:p w:rsidR="000B5EF1" w:rsidRDefault="000B5EF1" w:rsidP="000B5EF1">
      <w:pPr>
        <w:pStyle w:val="ListParagraph"/>
      </w:pPr>
    </w:p>
    <w:p w:rsidR="000B5EF1" w:rsidRDefault="000B5EF1" w:rsidP="000B5EF1">
      <w:r>
        <w:t xml:space="preserve">Depending on the seriousness of the complaint, the CEO (or delegate) will keep the President and/or executive of the Board informed throughout the process. </w:t>
      </w:r>
    </w:p>
    <w:p w:rsidR="007A1ED6" w:rsidRPr="000B5EF1" w:rsidRDefault="000B5EF1" w:rsidP="0011337A">
      <w:pPr>
        <w:ind w:firstLine="720"/>
        <w:rPr>
          <w:sz w:val="20"/>
          <w:szCs w:val="20"/>
        </w:rPr>
      </w:pPr>
      <w:r w:rsidRPr="000B5EF1">
        <w:rPr>
          <w:sz w:val="20"/>
          <w:szCs w:val="20"/>
        </w:rPr>
        <w:t>(Please note: For child safe related complaints please follow the Child Safety Reporting Procedure.)</w:t>
      </w:r>
    </w:p>
    <w:p w:rsidR="0011337A" w:rsidRDefault="0011337A" w:rsidP="00D86B73">
      <w:pPr>
        <w:pStyle w:val="Heading2"/>
        <w:spacing w:after="120"/>
      </w:pPr>
      <w:r>
        <w:t xml:space="preserve">Procedure for handling complaints and appeals by </w:t>
      </w:r>
      <w:proofErr w:type="gramStart"/>
      <w:r>
        <w:t>Students</w:t>
      </w:r>
      <w:proofErr w:type="gramEnd"/>
    </w:p>
    <w:p w:rsidR="0011337A" w:rsidRDefault="0011337A" w:rsidP="0011337A">
      <w:r>
        <w:t>If a student has a complaint, (this includes a student formally requesting a review of an assessment decision) the following steps are to be followed as appropriate:</w:t>
      </w:r>
    </w:p>
    <w:p w:rsidR="0011337A" w:rsidRDefault="0011337A" w:rsidP="001C4A9B">
      <w:pPr>
        <w:pStyle w:val="ListParagraph"/>
        <w:numPr>
          <w:ilvl w:val="0"/>
          <w:numId w:val="28"/>
        </w:numPr>
      </w:pPr>
      <w:r>
        <w:t xml:space="preserve">Depending on the level of severity of a complaint, a complainant should discuss an issue/complaint directly with the person involved to try to resolve it verbally, particularly in the case of a low level, non-complex issue that could be resolved in this way. First point of contact complaint resolution by CTI employees should occur where possible on the same working day it is received/ made aware of an issue. </w:t>
      </w:r>
    </w:p>
    <w:p w:rsidR="0011337A" w:rsidRDefault="0011337A" w:rsidP="00882B50">
      <w:pPr>
        <w:pStyle w:val="ListParagraph"/>
        <w:numPr>
          <w:ilvl w:val="0"/>
          <w:numId w:val="28"/>
        </w:numPr>
      </w:pPr>
      <w:r>
        <w:t>If no resolution is reached at step one, the trainer may decide to involve the RTO Manager in the interest of a resolution. If the complaint involves the teacher or trainer, the RTO Manager should be involved and lead the investigation/resolution.</w:t>
      </w:r>
    </w:p>
    <w:p w:rsidR="0011337A" w:rsidRDefault="0011337A" w:rsidP="00337003">
      <w:pPr>
        <w:pStyle w:val="ListParagraph"/>
        <w:numPr>
          <w:ilvl w:val="0"/>
          <w:numId w:val="28"/>
        </w:numPr>
      </w:pPr>
      <w:r>
        <w:t>If following step 2 there is no resolution, the student can choose to complete a complaint form in writing to formalise the compliant</w:t>
      </w:r>
      <w:r w:rsidR="00840F30">
        <w:t xml:space="preserve">. This form can be found here </w:t>
      </w:r>
      <w:r w:rsidR="00840F30" w:rsidRPr="00840F30">
        <w:rPr>
          <w:b/>
          <w:bCs/>
        </w:rPr>
        <w:t>(weblink)</w:t>
      </w:r>
    </w:p>
    <w:p w:rsidR="0011337A" w:rsidRDefault="0011337A" w:rsidP="00E569A7">
      <w:pPr>
        <w:pStyle w:val="ListParagraph"/>
        <w:numPr>
          <w:ilvl w:val="0"/>
          <w:numId w:val="28"/>
        </w:numPr>
      </w:pPr>
      <w:r>
        <w:t xml:space="preserve">Once a student complains in writing, the complaint or appeal should immediately be brought to the attention of the </w:t>
      </w:r>
      <w:r w:rsidR="00840F30">
        <w:t>RTO</w:t>
      </w:r>
      <w:r>
        <w:t xml:space="preserve"> Manager.</w:t>
      </w:r>
      <w:r w:rsidR="00840F30">
        <w:t xml:space="preserve"> </w:t>
      </w:r>
      <w:r>
        <w:t xml:space="preserve">All complaints received </w:t>
      </w:r>
      <w:r w:rsidR="00840F30">
        <w:t>will</w:t>
      </w:r>
      <w:r>
        <w:t xml:space="preserve"> be directed to the </w:t>
      </w:r>
      <w:r w:rsidR="00840F30">
        <w:t>RTO M</w:t>
      </w:r>
      <w:r>
        <w:t>anager who will then deal with the written complaint directly</w:t>
      </w:r>
      <w:r w:rsidR="00840F30">
        <w:t>.</w:t>
      </w:r>
      <w:r>
        <w:t xml:space="preserve"> This process must commence within 48 hours from the time written notification is received and a response must be provided within 7 days.</w:t>
      </w:r>
    </w:p>
    <w:p w:rsidR="0011337A" w:rsidRDefault="0011337A" w:rsidP="00FF66A8">
      <w:pPr>
        <w:pStyle w:val="ListParagraph"/>
        <w:numPr>
          <w:ilvl w:val="0"/>
          <w:numId w:val="28"/>
        </w:numPr>
      </w:pPr>
      <w:r>
        <w:t>A student may appeal a response. A request for an appeal must also be made in writing</w:t>
      </w:r>
      <w:r w:rsidR="00840F30">
        <w:t xml:space="preserve"> to the RTO Manager or CEO.</w:t>
      </w:r>
    </w:p>
    <w:p w:rsidR="0011337A" w:rsidRDefault="0011337A" w:rsidP="003D7ADB">
      <w:pPr>
        <w:pStyle w:val="ListParagraph"/>
        <w:numPr>
          <w:ilvl w:val="0"/>
          <w:numId w:val="28"/>
        </w:numPr>
      </w:pPr>
      <w:r>
        <w:t xml:space="preserve">Following a response to a complaint, or in the event of an appeal process, where a complaint is still not resolved to the student’s satisfaction, CTI may </w:t>
      </w:r>
      <w:r w:rsidR="00840F30">
        <w:t>decide</w:t>
      </w:r>
      <w:r>
        <w:t xml:space="preserve"> for an independent external person to be involved to resolve the issue. The student will be given the opportunity to formally present a case. The time frame for this process may vary but external arrangements should take no longer than 28 days.</w:t>
      </w:r>
    </w:p>
    <w:p w:rsidR="00897B89" w:rsidRDefault="0011337A" w:rsidP="007A1ED6">
      <w:pPr>
        <w:pStyle w:val="ListParagraph"/>
        <w:numPr>
          <w:ilvl w:val="0"/>
          <w:numId w:val="28"/>
        </w:numPr>
      </w:pPr>
      <w:r>
        <w:t xml:space="preserve">If a student is still not happy following external mediation, the student may take the complaint to the </w:t>
      </w:r>
      <w:r w:rsidR="00840F30">
        <w:t>national regulator Australian Skills Quality Authority (ASQA)</w:t>
      </w:r>
      <w:r w:rsidR="00BA565E">
        <w:t xml:space="preserve"> via the</w:t>
      </w:r>
      <w:r w:rsidR="00F72845">
        <w:t>i</w:t>
      </w:r>
      <w:r w:rsidR="00BA565E">
        <w:t xml:space="preserve">r website </w:t>
      </w:r>
      <w:hyperlink r:id="rId9" w:history="1">
        <w:r w:rsidR="00F72845">
          <w:rPr>
            <w:rStyle w:val="Hyperlink"/>
          </w:rPr>
          <w:t>ASQA-complaints-about-training-providers</w:t>
        </w:r>
      </w:hyperlink>
    </w:p>
    <w:p w:rsidR="0011337A" w:rsidRDefault="0011337A" w:rsidP="007A1ED6"/>
    <w:p w:rsidR="0011337A" w:rsidRDefault="0011337A" w:rsidP="007A1ED6"/>
    <w:p w:rsidR="0011337A" w:rsidRDefault="0011337A" w:rsidP="007A1ED6"/>
    <w:p w:rsidR="0011337A" w:rsidRDefault="0011337A" w:rsidP="007A1ED6"/>
    <w:p w:rsidR="00897B89" w:rsidRDefault="00897B89" w:rsidP="007A1ED6"/>
    <w:tbl>
      <w:tblPr>
        <w:tblStyle w:val="GridTable1LightAccent2"/>
        <w:tblW w:w="9630" w:type="dxa"/>
        <w:tblInd w:w="-5" w:type="dxa"/>
        <w:tblLook w:val="04A0" w:firstRow="1" w:lastRow="0" w:firstColumn="1" w:lastColumn="0" w:noHBand="0" w:noVBand="1"/>
      </w:tblPr>
      <w:tblGrid>
        <w:gridCol w:w="914"/>
        <w:gridCol w:w="1581"/>
        <w:gridCol w:w="2014"/>
        <w:gridCol w:w="1591"/>
        <w:gridCol w:w="1344"/>
        <w:gridCol w:w="2186"/>
      </w:tblGrid>
      <w:tr w:rsidR="007A1ED6" w:rsidTr="0007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7A1ED6" w:rsidRDefault="007A1ED6" w:rsidP="00063CD2">
            <w:r>
              <w:t>Version</w:t>
            </w:r>
          </w:p>
        </w:tc>
        <w:tc>
          <w:tcPr>
            <w:tcW w:w="1581" w:type="dxa"/>
          </w:tcPr>
          <w:p w:rsidR="007A1ED6" w:rsidRDefault="007A1ED6" w:rsidP="00063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014" w:type="dxa"/>
          </w:tcPr>
          <w:p w:rsidR="007A1ED6" w:rsidRDefault="007A1ED6" w:rsidP="00063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1591" w:type="dxa"/>
          </w:tcPr>
          <w:p w:rsidR="007A1ED6" w:rsidRDefault="007A1ED6" w:rsidP="00063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by</w:t>
            </w:r>
          </w:p>
        </w:tc>
        <w:tc>
          <w:tcPr>
            <w:tcW w:w="1344" w:type="dxa"/>
          </w:tcPr>
          <w:p w:rsidR="007A1ED6" w:rsidRDefault="007A1ED6" w:rsidP="00063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Due</w:t>
            </w:r>
          </w:p>
        </w:tc>
        <w:tc>
          <w:tcPr>
            <w:tcW w:w="2186" w:type="dxa"/>
          </w:tcPr>
          <w:p w:rsidR="007A1ED6" w:rsidRDefault="007A1ED6" w:rsidP="00063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Changes</w:t>
            </w:r>
          </w:p>
        </w:tc>
      </w:tr>
      <w:tr w:rsidR="007A1ED6" w:rsidTr="0007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7A1ED6" w:rsidRDefault="007A1ED6" w:rsidP="00063CD2">
            <w:r>
              <w:t>1</w:t>
            </w:r>
          </w:p>
        </w:tc>
        <w:tc>
          <w:tcPr>
            <w:tcW w:w="1581" w:type="dxa"/>
          </w:tcPr>
          <w:p w:rsidR="007A1ED6" w:rsidRDefault="007A1ED6" w:rsidP="0006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16/02/2021</w:t>
            </w:r>
          </w:p>
        </w:tc>
        <w:tc>
          <w:tcPr>
            <w:tcW w:w="2014" w:type="dxa"/>
          </w:tcPr>
          <w:p w:rsidR="007A1ED6" w:rsidRDefault="007A1ED6" w:rsidP="0006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Paul </w:t>
            </w:r>
            <w:proofErr w:type="spellStart"/>
            <w:r>
              <w:t>Cavicchia</w:t>
            </w:r>
            <w:proofErr w:type="spellEnd"/>
          </w:p>
        </w:tc>
        <w:tc>
          <w:tcPr>
            <w:tcW w:w="1591" w:type="dxa"/>
          </w:tcPr>
          <w:p w:rsidR="007A1ED6" w:rsidRDefault="007A1ED6" w:rsidP="0006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Lewis</w:t>
            </w:r>
          </w:p>
        </w:tc>
        <w:tc>
          <w:tcPr>
            <w:tcW w:w="1344" w:type="dxa"/>
          </w:tcPr>
          <w:p w:rsidR="007A1ED6" w:rsidRDefault="007A1ED6" w:rsidP="0006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9EE">
              <w:t>3</w:t>
            </w:r>
            <w:r>
              <w:t>0</w:t>
            </w:r>
            <w:r w:rsidRPr="001339EE">
              <w:t>/06/2023</w:t>
            </w:r>
          </w:p>
        </w:tc>
        <w:tc>
          <w:tcPr>
            <w:tcW w:w="2186" w:type="dxa"/>
          </w:tcPr>
          <w:p w:rsidR="007A1ED6" w:rsidRDefault="007A1ED6" w:rsidP="0006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Version</w:t>
            </w:r>
          </w:p>
        </w:tc>
      </w:tr>
      <w:tr w:rsidR="00070172" w:rsidTr="0007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070172" w:rsidRDefault="00070172" w:rsidP="00070172">
            <w:r>
              <w:t>2</w:t>
            </w:r>
          </w:p>
        </w:tc>
        <w:tc>
          <w:tcPr>
            <w:tcW w:w="1581" w:type="dxa"/>
          </w:tcPr>
          <w:p w:rsidR="00070172" w:rsidRDefault="00070172" w:rsidP="0007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16/08/2023</w:t>
            </w:r>
          </w:p>
        </w:tc>
        <w:tc>
          <w:tcPr>
            <w:tcW w:w="2014" w:type="dxa"/>
          </w:tcPr>
          <w:p w:rsidR="00070172" w:rsidRDefault="00070172" w:rsidP="0007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Lovett</w:t>
            </w:r>
          </w:p>
        </w:tc>
        <w:tc>
          <w:tcPr>
            <w:tcW w:w="1591" w:type="dxa"/>
          </w:tcPr>
          <w:p w:rsidR="00070172" w:rsidRDefault="00070172" w:rsidP="0007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Lewis</w:t>
            </w:r>
          </w:p>
        </w:tc>
        <w:tc>
          <w:tcPr>
            <w:tcW w:w="1344" w:type="dxa"/>
          </w:tcPr>
          <w:p w:rsidR="00070172" w:rsidRDefault="00070172" w:rsidP="0007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9EE">
              <w:t>3</w:t>
            </w:r>
            <w:r>
              <w:t>0</w:t>
            </w:r>
            <w:r w:rsidRPr="001339EE">
              <w:t>/06/202</w:t>
            </w:r>
            <w:r>
              <w:t>5</w:t>
            </w:r>
          </w:p>
        </w:tc>
        <w:tc>
          <w:tcPr>
            <w:tcW w:w="2186" w:type="dxa"/>
          </w:tcPr>
          <w:p w:rsidR="00070172" w:rsidRDefault="00070172" w:rsidP="0007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Revised version</w:t>
            </w:r>
          </w:p>
        </w:tc>
      </w:tr>
    </w:tbl>
    <w:p w:rsidR="007A1ED6" w:rsidRDefault="007A1ED6" w:rsidP="007A1ED6">
      <w:pPr>
        <w:rPr>
          <w:sz w:val="32"/>
          <w:szCs w:val="32"/>
        </w:rPr>
      </w:pPr>
    </w:p>
    <w:p w:rsidR="007A1ED6" w:rsidRDefault="007A1ED6" w:rsidP="007A1ED6">
      <w:pPr>
        <w:rPr>
          <w:rFonts w:ascii="Flama Book" w:hAnsi="Flama Book" w:cs="Flama Book"/>
          <w:sz w:val="20"/>
          <w:szCs w:val="20"/>
        </w:rPr>
      </w:pPr>
    </w:p>
    <w:p w:rsidR="007A1ED6" w:rsidRPr="005C593F" w:rsidRDefault="007A1ED6" w:rsidP="007A1ED6">
      <w:pPr>
        <w:spacing w:before="120" w:after="240"/>
        <w:mirrorIndents/>
        <w:rPr>
          <w:b/>
          <w:bCs/>
        </w:rPr>
      </w:pPr>
      <w:r w:rsidRPr="005C593F">
        <w:rPr>
          <w:b/>
          <w:bCs/>
        </w:rPr>
        <w:t>Approval</w:t>
      </w:r>
    </w:p>
    <w:tbl>
      <w:tblPr>
        <w:tblStyle w:val="GridTable1LightAccent2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4110"/>
        <w:gridCol w:w="1701"/>
      </w:tblGrid>
      <w:tr w:rsidR="007A1ED6" w:rsidRPr="002728B1" w:rsidTr="0006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A1ED6" w:rsidRPr="002728B1" w:rsidRDefault="007A1ED6" w:rsidP="00063CD2">
            <w:pPr>
              <w:spacing w:before="120" w:after="120"/>
              <w:mirrorIndents/>
            </w:pPr>
            <w:r w:rsidRPr="002728B1">
              <w:t>Name</w:t>
            </w:r>
          </w:p>
        </w:tc>
        <w:tc>
          <w:tcPr>
            <w:tcW w:w="1701" w:type="dxa"/>
          </w:tcPr>
          <w:p w:rsidR="007A1ED6" w:rsidRPr="002728B1" w:rsidRDefault="007A1ED6" w:rsidP="00063CD2">
            <w:pPr>
              <w:spacing w:before="120" w:after="120"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28B1">
              <w:t>Position</w:t>
            </w:r>
          </w:p>
        </w:tc>
        <w:tc>
          <w:tcPr>
            <w:tcW w:w="4110" w:type="dxa"/>
          </w:tcPr>
          <w:p w:rsidR="007A1ED6" w:rsidRPr="002728B1" w:rsidRDefault="007A1ED6" w:rsidP="00063CD2">
            <w:pPr>
              <w:spacing w:before="120" w:after="120"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28B1">
              <w:t>Signature</w:t>
            </w:r>
          </w:p>
        </w:tc>
        <w:tc>
          <w:tcPr>
            <w:tcW w:w="1701" w:type="dxa"/>
          </w:tcPr>
          <w:p w:rsidR="007A1ED6" w:rsidRPr="002728B1" w:rsidRDefault="007A1ED6" w:rsidP="00063CD2">
            <w:pPr>
              <w:spacing w:before="120" w:after="120"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28B1">
              <w:t>Date</w:t>
            </w:r>
          </w:p>
        </w:tc>
      </w:tr>
      <w:tr w:rsidR="007A1ED6" w:rsidRPr="002728B1" w:rsidTr="00063C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A1ED6" w:rsidRPr="00412C7A" w:rsidRDefault="007A1ED6" w:rsidP="00063CD2">
            <w:pPr>
              <w:spacing w:before="120" w:after="240"/>
              <w:mirrorIndents/>
              <w:rPr>
                <w:b w:val="0"/>
                <w:bCs w:val="0"/>
              </w:rPr>
            </w:pPr>
            <w:r w:rsidRPr="002728B1">
              <w:t>Andrew Lewis</w:t>
            </w:r>
          </w:p>
        </w:tc>
        <w:tc>
          <w:tcPr>
            <w:tcW w:w="1701" w:type="dxa"/>
          </w:tcPr>
          <w:p w:rsidR="007A1ED6" w:rsidRPr="002728B1" w:rsidRDefault="007A1ED6" w:rsidP="00063CD2">
            <w:pPr>
              <w:spacing w:before="120" w:after="24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8B1">
              <w:t>CEO</w:t>
            </w:r>
          </w:p>
        </w:tc>
        <w:tc>
          <w:tcPr>
            <w:tcW w:w="4110" w:type="dxa"/>
          </w:tcPr>
          <w:p w:rsidR="007A1ED6" w:rsidRPr="002728B1" w:rsidRDefault="007A1ED6" w:rsidP="00063CD2">
            <w:pPr>
              <w:spacing w:before="120" w:after="24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A1ED6" w:rsidRPr="002728B1" w:rsidRDefault="00070172" w:rsidP="00063CD2">
            <w:pPr>
              <w:spacing w:before="120" w:after="24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16/08/</w:t>
            </w:r>
            <w:r w:rsidR="007A1ED6">
              <w:t>202</w:t>
            </w:r>
            <w:r>
              <w:t>3</w:t>
            </w:r>
          </w:p>
        </w:tc>
      </w:tr>
    </w:tbl>
    <w:p w:rsidR="007A1ED6" w:rsidRPr="00182EAF" w:rsidRDefault="007A1ED6" w:rsidP="00070172">
      <w:pPr>
        <w:spacing w:before="120" w:after="120"/>
      </w:pPr>
    </w:p>
    <w:sectPr w:rsidR="007A1ED6" w:rsidRPr="00182EAF" w:rsidSect="00FC4AC6">
      <w:headerReference w:type="default" r:id="rId10"/>
      <w:footerReference w:type="default" r:id="rId11"/>
      <w:pgSz w:w="11906" w:h="16838" w:code="9"/>
      <w:pgMar w:top="1710" w:right="720" w:bottom="1134" w:left="851" w:header="70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32F" w:rsidRDefault="0089432F" w:rsidP="007F42CC">
      <w:r>
        <w:separator/>
      </w:r>
    </w:p>
  </w:endnote>
  <w:endnote w:type="continuationSeparator" w:id="0">
    <w:p w:rsidR="0089432F" w:rsidRDefault="0089432F" w:rsidP="007F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 Ultra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lama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ma Boo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EBE" w:rsidRDefault="00E67EBE" w:rsidP="004141E5">
    <w:pPr>
      <w:pStyle w:val="Footer"/>
      <w:tabs>
        <w:tab w:val="clear" w:pos="9026"/>
        <w:tab w:val="left" w:pos="7938"/>
        <w:tab w:val="right" w:pos="10206"/>
      </w:tabs>
      <w:rPr>
        <w:sz w:val="18"/>
        <w:szCs w:val="18"/>
      </w:rPr>
    </w:pPr>
  </w:p>
  <w:p w:rsidR="00FE4556" w:rsidRPr="004141E5" w:rsidRDefault="00E67EBE" w:rsidP="004141E5">
    <w:pPr>
      <w:pStyle w:val="Footer"/>
      <w:tabs>
        <w:tab w:val="clear" w:pos="9026"/>
        <w:tab w:val="left" w:pos="7938"/>
        <w:tab w:val="right" w:pos="10206"/>
      </w:tabs>
      <w:rPr>
        <w:sz w:val="18"/>
        <w:szCs w:val="18"/>
      </w:rPr>
    </w:pPr>
    <w:r>
      <w:rPr>
        <w:sz w:val="18"/>
        <w:szCs w:val="18"/>
      </w:rPr>
      <w:tab/>
    </w:r>
    <w:r w:rsidR="00FE4556" w:rsidRPr="004141E5">
      <w:rPr>
        <w:sz w:val="18"/>
        <w:szCs w:val="18"/>
      </w:rPr>
      <w:t xml:space="preserve">page: </w:t>
    </w:r>
    <w:r w:rsidR="00FE4556" w:rsidRPr="004141E5">
      <w:rPr>
        <w:sz w:val="18"/>
        <w:szCs w:val="18"/>
      </w:rPr>
      <w:fldChar w:fldCharType="begin"/>
    </w:r>
    <w:r w:rsidR="00FE4556" w:rsidRPr="004141E5">
      <w:rPr>
        <w:sz w:val="18"/>
        <w:szCs w:val="18"/>
      </w:rPr>
      <w:instrText xml:space="preserve"> PAGE   \* MERGEFORMAT </w:instrText>
    </w:r>
    <w:r w:rsidR="00FE4556" w:rsidRPr="004141E5">
      <w:rPr>
        <w:sz w:val="18"/>
        <w:szCs w:val="18"/>
      </w:rPr>
      <w:fldChar w:fldCharType="separate"/>
    </w:r>
    <w:r w:rsidR="00FE4556" w:rsidRPr="004141E5">
      <w:rPr>
        <w:noProof/>
        <w:sz w:val="18"/>
        <w:szCs w:val="18"/>
      </w:rPr>
      <w:t>1</w:t>
    </w:r>
    <w:r w:rsidR="00FE4556" w:rsidRPr="004141E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32F" w:rsidRDefault="0089432F" w:rsidP="007F42CC">
      <w:r>
        <w:separator/>
      </w:r>
    </w:p>
  </w:footnote>
  <w:footnote w:type="continuationSeparator" w:id="0">
    <w:p w:rsidR="0089432F" w:rsidRDefault="0089432F" w:rsidP="007F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C82" w:rsidRPr="007A1ED6" w:rsidRDefault="007A1ED6" w:rsidP="007A1ED6">
    <w:pPr>
      <w:pStyle w:val="Header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4A7DB04" wp14:editId="3C47E987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2343150" cy="663667"/>
          <wp:effectExtent l="0" t="0" r="0" b="3175"/>
          <wp:wrapNone/>
          <wp:docPr id="2012477882" name="Picture 2012477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220595" name="Picture 5972205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663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ED6">
      <w:rPr>
        <w:sz w:val="28"/>
        <w:szCs w:val="28"/>
      </w:rPr>
      <w:t xml:space="preserve">Complaints and </w:t>
    </w:r>
    <w:r>
      <w:rPr>
        <w:sz w:val="28"/>
        <w:szCs w:val="28"/>
      </w:rPr>
      <w:t>A</w:t>
    </w:r>
    <w:r w:rsidRPr="007A1ED6">
      <w:rPr>
        <w:sz w:val="28"/>
        <w:szCs w:val="28"/>
      </w:rPr>
      <w:t xml:space="preserve">ppeals </w:t>
    </w:r>
    <w:r>
      <w:rPr>
        <w:sz w:val="28"/>
        <w:szCs w:val="28"/>
      </w:rPr>
      <w:t>P</w:t>
    </w:r>
    <w:r w:rsidRPr="007A1ED6">
      <w:rPr>
        <w:sz w:val="28"/>
        <w:szCs w:val="28"/>
      </w:rPr>
      <w:t xml:space="preserve">olicy </w:t>
    </w:r>
    <w:r>
      <w:rPr>
        <w:sz w:val="28"/>
        <w:szCs w:val="28"/>
      </w:rPr>
      <w:t>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1EE"/>
    <w:multiLevelType w:val="hybridMultilevel"/>
    <w:tmpl w:val="CDF48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A27"/>
    <w:multiLevelType w:val="multilevel"/>
    <w:tmpl w:val="AD74B7E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044449FF"/>
    <w:multiLevelType w:val="hybridMultilevel"/>
    <w:tmpl w:val="1A522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55FA"/>
    <w:multiLevelType w:val="multilevel"/>
    <w:tmpl w:val="474C82D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0FBC5E62"/>
    <w:multiLevelType w:val="multilevel"/>
    <w:tmpl w:val="356A6FC6"/>
    <w:lvl w:ilvl="0">
      <w:start w:val="6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9" w:hanging="1440"/>
      </w:pPr>
      <w:rPr>
        <w:rFonts w:hint="default"/>
      </w:rPr>
    </w:lvl>
  </w:abstractNum>
  <w:abstractNum w:abstractNumId="5" w15:restartNumberingAfterBreak="0">
    <w:nsid w:val="11343972"/>
    <w:multiLevelType w:val="hybridMultilevel"/>
    <w:tmpl w:val="FE6AC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760E"/>
    <w:multiLevelType w:val="hybridMultilevel"/>
    <w:tmpl w:val="9B024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0507"/>
    <w:multiLevelType w:val="multilevel"/>
    <w:tmpl w:val="114030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D684C03"/>
    <w:multiLevelType w:val="multilevel"/>
    <w:tmpl w:val="CE46DC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9A5A2B"/>
    <w:multiLevelType w:val="hybridMultilevel"/>
    <w:tmpl w:val="FA1EE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3AB2"/>
    <w:multiLevelType w:val="hybridMultilevel"/>
    <w:tmpl w:val="9B64C392"/>
    <w:lvl w:ilvl="0" w:tplc="0AAA73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2869"/>
    <w:multiLevelType w:val="multilevel"/>
    <w:tmpl w:val="EBA01E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70763FE"/>
    <w:multiLevelType w:val="hybridMultilevel"/>
    <w:tmpl w:val="C924DF1C"/>
    <w:lvl w:ilvl="0" w:tplc="096004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A2ED3"/>
    <w:multiLevelType w:val="hybridMultilevel"/>
    <w:tmpl w:val="30B87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2538E"/>
    <w:multiLevelType w:val="hybridMultilevel"/>
    <w:tmpl w:val="5DE451A2"/>
    <w:lvl w:ilvl="0" w:tplc="EA2663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A68F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B045E"/>
    <w:multiLevelType w:val="multilevel"/>
    <w:tmpl w:val="474EDD6C"/>
    <w:lvl w:ilvl="0">
      <w:start w:val="1"/>
      <w:numFmt w:val="bullet"/>
      <w:lvlText w:val=""/>
      <w:lvlJc w:val="left"/>
      <w:pPr>
        <w:ind w:left="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76" w:hanging="432"/>
      </w:pPr>
    </w:lvl>
    <w:lvl w:ilvl="2">
      <w:start w:val="1"/>
      <w:numFmt w:val="decimal"/>
      <w:lvlText w:val="%1.%2.%3."/>
      <w:lvlJc w:val="left"/>
      <w:pPr>
        <w:ind w:left="908" w:hanging="504"/>
      </w:pPr>
    </w:lvl>
    <w:lvl w:ilvl="3">
      <w:start w:val="1"/>
      <w:numFmt w:val="decimal"/>
      <w:lvlText w:val="%1.%2.%3.%4."/>
      <w:lvlJc w:val="left"/>
      <w:pPr>
        <w:ind w:left="1412" w:hanging="648"/>
      </w:pPr>
    </w:lvl>
    <w:lvl w:ilvl="4">
      <w:start w:val="1"/>
      <w:numFmt w:val="decimal"/>
      <w:lvlText w:val="%1.%2.%3.%4.%5."/>
      <w:lvlJc w:val="left"/>
      <w:pPr>
        <w:ind w:left="1916" w:hanging="792"/>
      </w:pPr>
    </w:lvl>
    <w:lvl w:ilvl="5">
      <w:start w:val="1"/>
      <w:numFmt w:val="decimal"/>
      <w:lvlText w:val="%1.%2.%3.%4.%5.%6."/>
      <w:lvlJc w:val="left"/>
      <w:pPr>
        <w:ind w:left="2420" w:hanging="936"/>
      </w:pPr>
    </w:lvl>
    <w:lvl w:ilvl="6">
      <w:start w:val="1"/>
      <w:numFmt w:val="decimal"/>
      <w:lvlText w:val="%1.%2.%3.%4.%5.%6.%7."/>
      <w:lvlJc w:val="left"/>
      <w:pPr>
        <w:ind w:left="2924" w:hanging="1080"/>
      </w:pPr>
    </w:lvl>
    <w:lvl w:ilvl="7">
      <w:start w:val="1"/>
      <w:numFmt w:val="decimal"/>
      <w:lvlText w:val="%1.%2.%3.%4.%5.%6.%7.%8."/>
      <w:lvlJc w:val="left"/>
      <w:pPr>
        <w:ind w:left="3428" w:hanging="1224"/>
      </w:pPr>
    </w:lvl>
    <w:lvl w:ilvl="8">
      <w:start w:val="1"/>
      <w:numFmt w:val="decimal"/>
      <w:lvlText w:val="%1.%2.%3.%4.%5.%6.%7.%8.%9."/>
      <w:lvlJc w:val="left"/>
      <w:pPr>
        <w:ind w:left="4004" w:hanging="1440"/>
      </w:pPr>
    </w:lvl>
  </w:abstractNum>
  <w:abstractNum w:abstractNumId="17" w15:restartNumberingAfterBreak="0">
    <w:nsid w:val="4E763C61"/>
    <w:multiLevelType w:val="multilevel"/>
    <w:tmpl w:val="488A3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E1A0F"/>
    <w:multiLevelType w:val="hybridMultilevel"/>
    <w:tmpl w:val="30B87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0965"/>
    <w:multiLevelType w:val="hybridMultilevel"/>
    <w:tmpl w:val="29CA7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7E73"/>
    <w:multiLevelType w:val="multilevel"/>
    <w:tmpl w:val="B138521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1" w15:restartNumberingAfterBreak="0">
    <w:nsid w:val="5C237E24"/>
    <w:multiLevelType w:val="multilevel"/>
    <w:tmpl w:val="F35C9B38"/>
    <w:lvl w:ilvl="0">
      <w:start w:val="1"/>
      <w:numFmt w:val="decimal"/>
      <w:lvlText w:val="%1.0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1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hAnsiTheme="minorHAnsi" w:cstheme="minorBidi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inorHAnsi" w:hAnsiTheme="minorHAnsi" w:cstheme="minorBidi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Theme="minorHAnsi" w:hAnsiTheme="minorHAnsi" w:cstheme="minorBidi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inorHAnsi" w:hAnsiTheme="minorHAnsi" w:cstheme="minorBidi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inorHAnsi" w:hAnsiTheme="minorHAnsi" w:cstheme="minorBidi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asciiTheme="minorHAnsi" w:hAnsiTheme="minorHAnsi" w:cstheme="minorBidi" w:hint="default"/>
        <w:color w:val="auto"/>
        <w:sz w:val="21"/>
      </w:rPr>
    </w:lvl>
  </w:abstractNum>
  <w:abstractNum w:abstractNumId="22" w15:restartNumberingAfterBreak="0">
    <w:nsid w:val="5C5572C8"/>
    <w:multiLevelType w:val="multilevel"/>
    <w:tmpl w:val="5B7CF6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1041C7"/>
    <w:multiLevelType w:val="multilevel"/>
    <w:tmpl w:val="474ED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9F4CCD"/>
    <w:multiLevelType w:val="multilevel"/>
    <w:tmpl w:val="3B20AA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ACE32E8"/>
    <w:multiLevelType w:val="hybridMultilevel"/>
    <w:tmpl w:val="1B0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02A2E"/>
    <w:multiLevelType w:val="hybridMultilevel"/>
    <w:tmpl w:val="BD9A76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C780E"/>
    <w:multiLevelType w:val="hybridMultilevel"/>
    <w:tmpl w:val="242E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93398">
    <w:abstractNumId w:val="27"/>
  </w:num>
  <w:num w:numId="2" w16cid:durableId="1409381782">
    <w:abstractNumId w:val="2"/>
  </w:num>
  <w:num w:numId="3" w16cid:durableId="1989623702">
    <w:abstractNumId w:val="15"/>
  </w:num>
  <w:num w:numId="4" w16cid:durableId="980886364">
    <w:abstractNumId w:val="23"/>
  </w:num>
  <w:num w:numId="5" w16cid:durableId="738871062">
    <w:abstractNumId w:val="16"/>
  </w:num>
  <w:num w:numId="6" w16cid:durableId="979001319">
    <w:abstractNumId w:val="13"/>
  </w:num>
  <w:num w:numId="7" w16cid:durableId="1063915210">
    <w:abstractNumId w:val="18"/>
  </w:num>
  <w:num w:numId="8" w16cid:durableId="362561983">
    <w:abstractNumId w:val="17"/>
  </w:num>
  <w:num w:numId="9" w16cid:durableId="771246548">
    <w:abstractNumId w:val="22"/>
  </w:num>
  <w:num w:numId="10" w16cid:durableId="1586067512">
    <w:abstractNumId w:val="25"/>
  </w:num>
  <w:num w:numId="11" w16cid:durableId="1380320050">
    <w:abstractNumId w:val="7"/>
  </w:num>
  <w:num w:numId="12" w16cid:durableId="1233733909">
    <w:abstractNumId w:val="1"/>
  </w:num>
  <w:num w:numId="13" w16cid:durableId="472722147">
    <w:abstractNumId w:val="24"/>
  </w:num>
  <w:num w:numId="14" w16cid:durableId="47413991">
    <w:abstractNumId w:val="21"/>
  </w:num>
  <w:num w:numId="15" w16cid:durableId="1166362326">
    <w:abstractNumId w:val="11"/>
  </w:num>
  <w:num w:numId="16" w16cid:durableId="1460104857">
    <w:abstractNumId w:val="4"/>
  </w:num>
  <w:num w:numId="17" w16cid:durableId="8723206">
    <w:abstractNumId w:val="3"/>
  </w:num>
  <w:num w:numId="18" w16cid:durableId="1466268797">
    <w:abstractNumId w:val="14"/>
  </w:num>
  <w:num w:numId="19" w16cid:durableId="2080403660">
    <w:abstractNumId w:val="20"/>
  </w:num>
  <w:num w:numId="20" w16cid:durableId="487864113">
    <w:abstractNumId w:val="10"/>
  </w:num>
  <w:num w:numId="21" w16cid:durableId="1845197536">
    <w:abstractNumId w:val="12"/>
  </w:num>
  <w:num w:numId="22" w16cid:durableId="84153085">
    <w:abstractNumId w:val="0"/>
  </w:num>
  <w:num w:numId="23" w16cid:durableId="1524440929">
    <w:abstractNumId w:val="26"/>
  </w:num>
  <w:num w:numId="24" w16cid:durableId="131483666">
    <w:abstractNumId w:val="9"/>
  </w:num>
  <w:num w:numId="25" w16cid:durableId="2131432110">
    <w:abstractNumId w:val="8"/>
  </w:num>
  <w:num w:numId="26" w16cid:durableId="751707004">
    <w:abstractNumId w:val="6"/>
  </w:num>
  <w:num w:numId="27" w16cid:durableId="1091197406">
    <w:abstractNumId w:val="19"/>
  </w:num>
  <w:num w:numId="28" w16cid:durableId="68794915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CC"/>
    <w:rsid w:val="00041F49"/>
    <w:rsid w:val="00070172"/>
    <w:rsid w:val="00074358"/>
    <w:rsid w:val="000B5EF1"/>
    <w:rsid w:val="000D2460"/>
    <w:rsid w:val="000E5410"/>
    <w:rsid w:val="00110B8C"/>
    <w:rsid w:val="0011337A"/>
    <w:rsid w:val="001339EE"/>
    <w:rsid w:val="001767F2"/>
    <w:rsid w:val="00180619"/>
    <w:rsid w:val="00182EAF"/>
    <w:rsid w:val="00185037"/>
    <w:rsid w:val="001A2B5E"/>
    <w:rsid w:val="001B5DE9"/>
    <w:rsid w:val="00220590"/>
    <w:rsid w:val="002243D1"/>
    <w:rsid w:val="002465F8"/>
    <w:rsid w:val="002640C4"/>
    <w:rsid w:val="00264CD3"/>
    <w:rsid w:val="002C24EB"/>
    <w:rsid w:val="002D3F7F"/>
    <w:rsid w:val="002F577E"/>
    <w:rsid w:val="003155A3"/>
    <w:rsid w:val="00333148"/>
    <w:rsid w:val="003534EE"/>
    <w:rsid w:val="003A3FA7"/>
    <w:rsid w:val="003D3263"/>
    <w:rsid w:val="003F0297"/>
    <w:rsid w:val="003F66D5"/>
    <w:rsid w:val="00412C7A"/>
    <w:rsid w:val="004141E5"/>
    <w:rsid w:val="00451CE7"/>
    <w:rsid w:val="00487603"/>
    <w:rsid w:val="004B6F50"/>
    <w:rsid w:val="004D4652"/>
    <w:rsid w:val="00504765"/>
    <w:rsid w:val="00505731"/>
    <w:rsid w:val="005066B7"/>
    <w:rsid w:val="00596DF7"/>
    <w:rsid w:val="005B1106"/>
    <w:rsid w:val="005C16A5"/>
    <w:rsid w:val="005E424E"/>
    <w:rsid w:val="00604F59"/>
    <w:rsid w:val="00635977"/>
    <w:rsid w:val="00652F6C"/>
    <w:rsid w:val="00657575"/>
    <w:rsid w:val="00666FDA"/>
    <w:rsid w:val="006A1643"/>
    <w:rsid w:val="006B77E5"/>
    <w:rsid w:val="007135AA"/>
    <w:rsid w:val="007A1ED6"/>
    <w:rsid w:val="007A75D7"/>
    <w:rsid w:val="007D05F5"/>
    <w:rsid w:val="007F42CC"/>
    <w:rsid w:val="008069E4"/>
    <w:rsid w:val="00814277"/>
    <w:rsid w:val="00816EE7"/>
    <w:rsid w:val="008219F2"/>
    <w:rsid w:val="00824D1C"/>
    <w:rsid w:val="00825C61"/>
    <w:rsid w:val="008334B6"/>
    <w:rsid w:val="00840F30"/>
    <w:rsid w:val="00846208"/>
    <w:rsid w:val="008473BE"/>
    <w:rsid w:val="008504BB"/>
    <w:rsid w:val="00862F2A"/>
    <w:rsid w:val="00871E91"/>
    <w:rsid w:val="00876D2C"/>
    <w:rsid w:val="0089432F"/>
    <w:rsid w:val="008958CC"/>
    <w:rsid w:val="00897B89"/>
    <w:rsid w:val="008B5C26"/>
    <w:rsid w:val="008C1377"/>
    <w:rsid w:val="008D68EB"/>
    <w:rsid w:val="008E641B"/>
    <w:rsid w:val="009042AB"/>
    <w:rsid w:val="00907E7F"/>
    <w:rsid w:val="00931C82"/>
    <w:rsid w:val="00961DD5"/>
    <w:rsid w:val="00996302"/>
    <w:rsid w:val="009D008B"/>
    <w:rsid w:val="009D4737"/>
    <w:rsid w:val="009E3638"/>
    <w:rsid w:val="009E5DDC"/>
    <w:rsid w:val="00A31779"/>
    <w:rsid w:val="00A71435"/>
    <w:rsid w:val="00AA6343"/>
    <w:rsid w:val="00AA6390"/>
    <w:rsid w:val="00AB33EE"/>
    <w:rsid w:val="00AE109F"/>
    <w:rsid w:val="00AE51D4"/>
    <w:rsid w:val="00AF4F40"/>
    <w:rsid w:val="00B034B1"/>
    <w:rsid w:val="00B7129A"/>
    <w:rsid w:val="00BA51BF"/>
    <w:rsid w:val="00BA565E"/>
    <w:rsid w:val="00BE0807"/>
    <w:rsid w:val="00C04516"/>
    <w:rsid w:val="00C11977"/>
    <w:rsid w:val="00C2126D"/>
    <w:rsid w:val="00C22C16"/>
    <w:rsid w:val="00C27BFF"/>
    <w:rsid w:val="00C54C34"/>
    <w:rsid w:val="00CC43B5"/>
    <w:rsid w:val="00CF4333"/>
    <w:rsid w:val="00D217D0"/>
    <w:rsid w:val="00D3669F"/>
    <w:rsid w:val="00D4144A"/>
    <w:rsid w:val="00D53340"/>
    <w:rsid w:val="00D86B73"/>
    <w:rsid w:val="00DA03A7"/>
    <w:rsid w:val="00DA573A"/>
    <w:rsid w:val="00DF33C2"/>
    <w:rsid w:val="00DF6338"/>
    <w:rsid w:val="00E05804"/>
    <w:rsid w:val="00E14546"/>
    <w:rsid w:val="00E217B6"/>
    <w:rsid w:val="00E2709B"/>
    <w:rsid w:val="00E67EBE"/>
    <w:rsid w:val="00ED3E30"/>
    <w:rsid w:val="00EE5293"/>
    <w:rsid w:val="00EE5E9D"/>
    <w:rsid w:val="00EF73DA"/>
    <w:rsid w:val="00F07F83"/>
    <w:rsid w:val="00F37B0B"/>
    <w:rsid w:val="00F43E84"/>
    <w:rsid w:val="00F619DB"/>
    <w:rsid w:val="00F67EA9"/>
    <w:rsid w:val="00F67FA0"/>
    <w:rsid w:val="00F72845"/>
    <w:rsid w:val="00F93931"/>
    <w:rsid w:val="00FC4AC6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B3140"/>
  <w15:chartTrackingRefBased/>
  <w15:docId w15:val="{7D391091-24D3-44A3-A5C8-8EACBADD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7B6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556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7B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007465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55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55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556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55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556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556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556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2CC"/>
    <w:pPr>
      <w:autoSpaceDE w:val="0"/>
      <w:autoSpaceDN w:val="0"/>
      <w:adjustRightInd w:val="0"/>
      <w:spacing w:after="0" w:line="240" w:lineRule="auto"/>
    </w:pPr>
    <w:rPr>
      <w:rFonts w:ascii="Flama Ultralight" w:hAnsi="Flama Ultralight" w:cs="Flama Ultra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F42CC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F42CC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F42CC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F42CC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F42CC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F42CC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F42CC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F42CC"/>
    <w:rPr>
      <w:rFonts w:ascii="Flama Light" w:hAnsi="Flama Light" w:cs="Flama Light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7F42CC"/>
    <w:pPr>
      <w:spacing w:line="1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F42CC"/>
    <w:pPr>
      <w:spacing w:line="10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FE455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17B6"/>
    <w:rPr>
      <w:rFonts w:asciiTheme="majorHAnsi" w:eastAsiaTheme="majorEastAsia" w:hAnsiTheme="majorHAnsi" w:cstheme="majorBidi"/>
      <w:color w:val="00746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455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55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55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55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55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55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55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556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4556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E455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55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455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E4556"/>
    <w:rPr>
      <w:b/>
      <w:bCs/>
    </w:rPr>
  </w:style>
  <w:style w:type="character" w:styleId="Emphasis">
    <w:name w:val="Emphasis"/>
    <w:basedOn w:val="DefaultParagraphFont"/>
    <w:uiPriority w:val="20"/>
    <w:qFormat/>
    <w:rsid w:val="00FE4556"/>
    <w:rPr>
      <w:i/>
      <w:iCs/>
      <w:color w:val="000000" w:themeColor="text1"/>
    </w:rPr>
  </w:style>
  <w:style w:type="paragraph" w:styleId="NoSpacing">
    <w:name w:val="No Spacing"/>
    <w:uiPriority w:val="1"/>
    <w:qFormat/>
    <w:rsid w:val="00FE45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455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45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556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55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E45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455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E455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455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E455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5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4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CC"/>
  </w:style>
  <w:style w:type="paragraph" w:styleId="Footer">
    <w:name w:val="footer"/>
    <w:basedOn w:val="Normal"/>
    <w:link w:val="FooterChar"/>
    <w:uiPriority w:val="99"/>
    <w:unhideWhenUsed/>
    <w:rsid w:val="007F4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CC"/>
  </w:style>
  <w:style w:type="table" w:styleId="TableGrid">
    <w:name w:val="Table Grid"/>
    <w:basedOn w:val="TableNormal"/>
    <w:uiPriority w:val="39"/>
    <w:rsid w:val="007F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B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5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75"/>
    <w:rPr>
      <w:rFonts w:ascii="Segoe UI" w:hAnsi="Segoe UI" w:cs="Segoe UI"/>
      <w:sz w:val="18"/>
      <w:szCs w:val="18"/>
    </w:rPr>
  </w:style>
  <w:style w:type="table" w:styleId="GridTable1LightAccent2">
    <w:name w:val="Grid Table 1 Light Accent 2"/>
    <w:basedOn w:val="TableNormal"/>
    <w:uiPriority w:val="46"/>
    <w:rsid w:val="00D217D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dt4ke">
    <w:name w:val="cdt4ke"/>
    <w:basedOn w:val="Normal"/>
    <w:rsid w:val="00BA5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E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960">
          <w:marLeft w:val="0"/>
          <w:marRight w:val="0"/>
          <w:marTop w:val="105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7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1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0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6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4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8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7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pport@ctitraining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qa.gov.au/about/complaints/complaints-about-training-provi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7709-C41B-4F46-847E-A14BEB0F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Cavicchia</dc:creator>
  <cp:keywords/>
  <dc:description>16/04/2022 - review</dc:description>
  <cp:lastModifiedBy>Laura Gilbert</cp:lastModifiedBy>
  <cp:revision>1</cp:revision>
  <cp:lastPrinted>2021-05-11T06:35:00Z</cp:lastPrinted>
  <dcterms:created xsi:type="dcterms:W3CDTF">2023-08-28T10:44:00Z</dcterms:created>
  <dcterms:modified xsi:type="dcterms:W3CDTF">2023-08-28T10:44:00Z</dcterms:modified>
</cp:coreProperties>
</file>